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F3" w:rsidRPr="004013F3" w:rsidRDefault="004013F3" w:rsidP="004013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013F3">
        <w:rPr>
          <w:rFonts w:ascii="Arial" w:hAnsi="Arial" w:cs="Arial"/>
          <w:b/>
          <w:sz w:val="20"/>
          <w:szCs w:val="20"/>
        </w:rPr>
        <w:t>Fever</w:t>
      </w:r>
    </w:p>
    <w:p w:rsidR="004013F3" w:rsidRPr="004013F3" w:rsidRDefault="004013F3" w:rsidP="004013F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1. </w:t>
      </w:r>
      <w:r w:rsidRPr="004013F3">
        <w:rPr>
          <w:rFonts w:ascii="Arial" w:hAnsi="Arial" w:cs="Arial"/>
          <w:b/>
          <w:bCs/>
          <w:sz w:val="20"/>
          <w:szCs w:val="20"/>
        </w:rPr>
        <w:t>Defined as T &gt; 38.5C</w:t>
      </w:r>
      <w:r w:rsidRPr="004013F3">
        <w:rPr>
          <w:rFonts w:ascii="Arial" w:hAnsi="Arial" w:cs="Arial"/>
          <w:sz w:val="20"/>
          <w:szCs w:val="20"/>
        </w:rPr>
        <w:t xml:space="preserve"> and in </w:t>
      </w:r>
      <w:proofErr w:type="spellStart"/>
      <w:r w:rsidRPr="004013F3">
        <w:rPr>
          <w:rFonts w:ascii="Arial" w:hAnsi="Arial" w:cs="Arial"/>
          <w:sz w:val="20"/>
          <w:szCs w:val="20"/>
        </w:rPr>
        <w:t>neutropenic</w:t>
      </w:r>
      <w:proofErr w:type="spellEnd"/>
      <w:r w:rsidRPr="004013F3">
        <w:rPr>
          <w:rFonts w:ascii="Arial" w:hAnsi="Arial" w:cs="Arial"/>
          <w:sz w:val="20"/>
          <w:szCs w:val="20"/>
        </w:rPr>
        <w:t>, organ transplant, and dialysis patients, T &gt; 38.0</w:t>
      </w:r>
      <w:r>
        <w:rPr>
          <w:rFonts w:ascii="Arial" w:hAnsi="Arial" w:cs="Arial"/>
          <w:sz w:val="20"/>
          <w:szCs w:val="20"/>
        </w:rPr>
        <w:t xml:space="preserve"> </w:t>
      </w:r>
      <w:r w:rsidRPr="004013F3">
        <w:rPr>
          <w:rFonts w:ascii="Arial" w:hAnsi="Arial" w:cs="Arial"/>
          <w:sz w:val="20"/>
          <w:szCs w:val="20"/>
        </w:rPr>
        <w:t>C.</w:t>
      </w:r>
    </w:p>
    <w:p w:rsidR="004013F3" w:rsidRPr="004013F3" w:rsidRDefault="004013F3" w:rsidP="004013F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2. Your </w:t>
      </w:r>
      <w:r w:rsidRPr="004013F3">
        <w:rPr>
          <w:rFonts w:ascii="Arial" w:hAnsi="Arial" w:cs="Arial"/>
          <w:b/>
          <w:bCs/>
          <w:sz w:val="20"/>
          <w:szCs w:val="20"/>
        </w:rPr>
        <w:t>differential diagnosis</w:t>
      </w:r>
      <w:r w:rsidRPr="004013F3">
        <w:rPr>
          <w:rFonts w:ascii="Arial" w:hAnsi="Arial" w:cs="Arial"/>
          <w:sz w:val="20"/>
          <w:szCs w:val="20"/>
        </w:rPr>
        <w:t xml:space="preserve"> is fairly broad.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Infection (lung, heart, brain, urine, sinuses, prostate, abdomen, skin, lines)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Inflammation (collagen vascular disease, neoplastic disease, </w:t>
      </w:r>
      <w:proofErr w:type="spellStart"/>
      <w:r w:rsidRPr="004013F3">
        <w:rPr>
          <w:rFonts w:ascii="Arial" w:hAnsi="Arial" w:cs="Arial"/>
          <w:sz w:val="20"/>
          <w:szCs w:val="20"/>
        </w:rPr>
        <w:t>mucositis</w:t>
      </w:r>
      <w:proofErr w:type="spellEnd"/>
      <w:r w:rsidRPr="004013F3">
        <w:rPr>
          <w:rFonts w:ascii="Arial" w:hAnsi="Arial" w:cs="Arial"/>
          <w:sz w:val="20"/>
          <w:szCs w:val="20"/>
        </w:rPr>
        <w:t>)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Drug fever (beta lactam antibiotics, amphotericin, and chemotherapy are frequent offenders)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Pulmonary embolism or DVT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Neurologic (spinal cord injury, hypothalamic injury, intracranial hemorrhage, seizures, subdural hematoma)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Endocrine (adrenal insufficiency, thyrotoxicosis)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Miscellaneous (aspiration, blood product reaction, atelectasis, hematoma, pancreatitis, MI)</w:t>
      </w:r>
    </w:p>
    <w:p w:rsidR="004013F3" w:rsidRPr="004013F3" w:rsidRDefault="004013F3" w:rsidP="004013F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3. After day 3 of hospitalization, the incidence of </w:t>
      </w:r>
      <w:r w:rsidRPr="004013F3">
        <w:rPr>
          <w:rFonts w:ascii="Arial" w:hAnsi="Arial" w:cs="Arial"/>
          <w:b/>
          <w:bCs/>
          <w:sz w:val="20"/>
          <w:szCs w:val="20"/>
        </w:rPr>
        <w:t>nosocomial infection</w:t>
      </w:r>
      <w:r w:rsidRPr="004013F3">
        <w:rPr>
          <w:rFonts w:ascii="Arial" w:hAnsi="Arial" w:cs="Arial"/>
          <w:sz w:val="20"/>
          <w:szCs w:val="20"/>
        </w:rPr>
        <w:t xml:space="preserve"> and drug-induced fever goes up substantially. Note that nosocomial meningitis is exceedingly rare in the absence of head injury or neurosurgery.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Common nosocomial infections: UTI (especially in patients with Foley catheters), pneumonia, vascular catheter related infections, wound infections, antibiotic-associated colitis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Less common: decubitus ulcers, </w:t>
      </w:r>
      <w:proofErr w:type="spellStart"/>
      <w:r w:rsidRPr="004013F3">
        <w:rPr>
          <w:rFonts w:ascii="Arial" w:hAnsi="Arial" w:cs="Arial"/>
          <w:sz w:val="20"/>
          <w:szCs w:val="20"/>
        </w:rPr>
        <w:t>acalculous</w:t>
      </w:r>
      <w:proofErr w:type="spellEnd"/>
      <w:r w:rsidRPr="004013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013F3">
        <w:rPr>
          <w:rFonts w:ascii="Arial" w:hAnsi="Arial" w:cs="Arial"/>
          <w:sz w:val="20"/>
          <w:szCs w:val="20"/>
        </w:rPr>
        <w:t>cholecystitis</w:t>
      </w:r>
      <w:proofErr w:type="spellEnd"/>
      <w:r w:rsidRPr="004013F3">
        <w:rPr>
          <w:rFonts w:ascii="Arial" w:hAnsi="Arial" w:cs="Arial"/>
          <w:sz w:val="20"/>
          <w:szCs w:val="20"/>
        </w:rPr>
        <w:t>, nosocomial sinusitis</w:t>
      </w:r>
    </w:p>
    <w:p w:rsidR="004013F3" w:rsidRPr="004013F3" w:rsidRDefault="004013F3" w:rsidP="004013F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4. As stated above, </w:t>
      </w:r>
      <w:r w:rsidRPr="004013F3">
        <w:rPr>
          <w:rFonts w:ascii="Arial" w:hAnsi="Arial" w:cs="Arial"/>
          <w:b/>
          <w:bCs/>
          <w:sz w:val="20"/>
          <w:szCs w:val="20"/>
        </w:rPr>
        <w:t>drug-induced fevers</w:t>
      </w:r>
      <w:r w:rsidRPr="004013F3">
        <w:rPr>
          <w:rFonts w:ascii="Arial" w:hAnsi="Arial" w:cs="Arial"/>
          <w:sz w:val="20"/>
          <w:szCs w:val="20"/>
        </w:rPr>
        <w:t xml:space="preserve"> are quite common in hospitalized patients. Clues are relative </w:t>
      </w:r>
      <w:proofErr w:type="spellStart"/>
      <w:r w:rsidRPr="004013F3">
        <w:rPr>
          <w:rFonts w:ascii="Arial" w:hAnsi="Arial" w:cs="Arial"/>
          <w:sz w:val="20"/>
          <w:szCs w:val="20"/>
        </w:rPr>
        <w:t>bradycardia</w:t>
      </w:r>
      <w:proofErr w:type="spellEnd"/>
      <w:r w:rsidRPr="004013F3">
        <w:rPr>
          <w:rFonts w:ascii="Arial" w:hAnsi="Arial" w:cs="Arial"/>
          <w:sz w:val="20"/>
          <w:szCs w:val="20"/>
        </w:rPr>
        <w:t xml:space="preserve">, presence of a rash, eosinophilia, and the patient being subjectively unaware of fever despite high temperatures. </w:t>
      </w:r>
      <w:r w:rsidRPr="004013F3">
        <w:rPr>
          <w:rFonts w:ascii="Arial" w:hAnsi="Arial" w:cs="Arial"/>
          <w:iCs/>
          <w:sz w:val="20"/>
          <w:szCs w:val="20"/>
        </w:rPr>
        <w:t>Always look at the medication record!</w:t>
      </w:r>
    </w:p>
    <w:p w:rsidR="004013F3" w:rsidRPr="004013F3" w:rsidRDefault="004013F3" w:rsidP="004013F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5. </w:t>
      </w:r>
      <w:r w:rsidRPr="004013F3">
        <w:rPr>
          <w:rFonts w:ascii="Arial" w:hAnsi="Arial" w:cs="Arial"/>
          <w:b/>
          <w:bCs/>
          <w:sz w:val="20"/>
          <w:szCs w:val="20"/>
        </w:rPr>
        <w:t>Work-up:</w:t>
      </w:r>
      <w:r w:rsidRPr="004013F3">
        <w:rPr>
          <w:rFonts w:ascii="Arial" w:hAnsi="Arial" w:cs="Arial"/>
          <w:sz w:val="20"/>
          <w:szCs w:val="20"/>
        </w:rPr>
        <w:t xml:space="preserve"> first determine whether the patient is stable or unstable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Look at other vital signs and examine the patient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Blood pressure is the most important vital sign to monitor frequently for development of hypotension and septic shock. Also worrisome is tachypnea (often an early sign of sepsis).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If unstable, you may want to call for backup and arrange for an ICU transfer.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Take </w:t>
      </w:r>
      <w:proofErr w:type="gramStart"/>
      <w:r w:rsidRPr="004013F3">
        <w:rPr>
          <w:rFonts w:ascii="Arial" w:hAnsi="Arial" w:cs="Arial"/>
          <w:sz w:val="20"/>
          <w:szCs w:val="20"/>
        </w:rPr>
        <w:t>a focused H&amp;P. Remember drug allergies</w:t>
      </w:r>
      <w:proofErr w:type="gramEnd"/>
      <w:r w:rsidRPr="004013F3">
        <w:rPr>
          <w:rFonts w:ascii="Arial" w:hAnsi="Arial" w:cs="Arial"/>
          <w:sz w:val="20"/>
          <w:szCs w:val="20"/>
        </w:rPr>
        <w:t>! Determine whether additional studies to rule out the above diagnoses are indicated (e.g. CXR &amp; U/A are often indicated).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Determine whether blood cultures have been drawn within 48 hours. If so, there is generally no need to draw additional cultures.</w:t>
      </w:r>
    </w:p>
    <w:p w:rsidR="004013F3" w:rsidRPr="004013F3" w:rsidRDefault="004013F3" w:rsidP="004013F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6. </w:t>
      </w:r>
      <w:r w:rsidRPr="004013F3">
        <w:rPr>
          <w:rFonts w:ascii="Arial" w:hAnsi="Arial" w:cs="Arial"/>
          <w:b/>
          <w:bCs/>
          <w:sz w:val="20"/>
          <w:szCs w:val="20"/>
        </w:rPr>
        <w:t>Treatment: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In most cases, it is prudent to </w:t>
      </w:r>
      <w:proofErr w:type="spellStart"/>
      <w:r w:rsidRPr="004013F3">
        <w:rPr>
          <w:rFonts w:ascii="Arial" w:hAnsi="Arial" w:cs="Arial"/>
          <w:sz w:val="20"/>
          <w:szCs w:val="20"/>
        </w:rPr>
        <w:t>withold</w:t>
      </w:r>
      <w:proofErr w:type="spellEnd"/>
      <w:r w:rsidRPr="004013F3">
        <w:rPr>
          <w:rFonts w:ascii="Arial" w:hAnsi="Arial" w:cs="Arial"/>
          <w:sz w:val="20"/>
          <w:szCs w:val="20"/>
        </w:rPr>
        <w:t xml:space="preserve"> empiric antibiotics unless obvious sign of infection (</w:t>
      </w:r>
      <w:r w:rsidRPr="004013F3">
        <w:rPr>
          <w:rFonts w:ascii="Arial" w:hAnsi="Arial" w:cs="Arial"/>
          <w:iCs/>
          <w:sz w:val="20"/>
          <w:szCs w:val="20"/>
        </w:rPr>
        <w:t>e.g.</w:t>
      </w:r>
      <w:r w:rsidRPr="004013F3">
        <w:rPr>
          <w:rFonts w:ascii="Arial" w:hAnsi="Arial" w:cs="Arial"/>
          <w:sz w:val="20"/>
          <w:szCs w:val="20"/>
        </w:rPr>
        <w:t xml:space="preserve"> new infiltrate on CXR). An exception to this rule is patient who is </w:t>
      </w:r>
      <w:proofErr w:type="spellStart"/>
      <w:r w:rsidRPr="004013F3">
        <w:rPr>
          <w:rFonts w:ascii="Arial" w:hAnsi="Arial" w:cs="Arial"/>
          <w:sz w:val="20"/>
          <w:szCs w:val="20"/>
        </w:rPr>
        <w:t>hemodynamically</w:t>
      </w:r>
      <w:proofErr w:type="spellEnd"/>
      <w:r w:rsidRPr="004013F3">
        <w:rPr>
          <w:rFonts w:ascii="Arial" w:hAnsi="Arial" w:cs="Arial"/>
          <w:sz w:val="20"/>
          <w:szCs w:val="20"/>
        </w:rPr>
        <w:t xml:space="preserve"> unstable or with other signs of sepsis or septic shock.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Most bone marrow transplant units have an antibiotic algorithm to follow. Consult your local </w:t>
      </w:r>
      <w:proofErr w:type="spellStart"/>
      <w:r w:rsidRPr="004013F3">
        <w:rPr>
          <w:rFonts w:ascii="Arial" w:hAnsi="Arial" w:cs="Arial"/>
          <w:sz w:val="20"/>
          <w:szCs w:val="20"/>
        </w:rPr>
        <w:t>hospital</w:t>
      </w:r>
      <w:proofErr w:type="gramStart"/>
      <w:r w:rsidRPr="004013F3">
        <w:rPr>
          <w:rFonts w:ascii="Arial" w:hAnsi="Arial" w:cs="Arial"/>
          <w:sz w:val="20"/>
          <w:szCs w:val="20"/>
        </w:rPr>
        <w:t>?s</w:t>
      </w:r>
      <w:proofErr w:type="spellEnd"/>
      <w:proofErr w:type="gramEnd"/>
      <w:r w:rsidRPr="004013F3">
        <w:rPr>
          <w:rFonts w:ascii="Arial" w:hAnsi="Arial" w:cs="Arial"/>
          <w:sz w:val="20"/>
          <w:szCs w:val="20"/>
        </w:rPr>
        <w:t xml:space="preserve"> pharmacy for more information.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Antipyretics: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8"/>
        </w:numPr>
        <w:tabs>
          <w:tab w:val="left" w:pos="940"/>
          <w:tab w:val="left" w:pos="1440"/>
        </w:tabs>
        <w:autoSpaceDE w:val="0"/>
        <w:autoSpaceDN w:val="0"/>
        <w:adjustRightInd w:val="0"/>
        <w:ind w:left="108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>Tylenol 650 mg PO or for suspected neoplastic fevers, naproxen 375 mg PO q12h.</w:t>
      </w:r>
    </w:p>
    <w:p w:rsidR="004013F3" w:rsidRPr="004013F3" w:rsidRDefault="004013F3" w:rsidP="004013F3">
      <w:pPr>
        <w:pStyle w:val="ListParagraph"/>
        <w:widowControl w:val="0"/>
        <w:numPr>
          <w:ilvl w:val="0"/>
          <w:numId w:val="8"/>
        </w:numPr>
        <w:tabs>
          <w:tab w:val="left" w:pos="940"/>
          <w:tab w:val="left" w:pos="1440"/>
        </w:tabs>
        <w:autoSpaceDE w:val="0"/>
        <w:autoSpaceDN w:val="0"/>
        <w:adjustRightInd w:val="0"/>
        <w:ind w:left="1080"/>
        <w:rPr>
          <w:rFonts w:ascii="Arial" w:hAnsi="Arial" w:cs="Arial"/>
          <w:sz w:val="20"/>
          <w:szCs w:val="20"/>
        </w:rPr>
      </w:pPr>
      <w:r w:rsidRPr="004013F3">
        <w:rPr>
          <w:rFonts w:ascii="Arial" w:hAnsi="Arial" w:cs="Arial"/>
          <w:sz w:val="20"/>
          <w:szCs w:val="20"/>
        </w:rPr>
        <w:t xml:space="preserve">Remember that fever can augment the host defense system and routine antipyretics can mask the disease process and may delay diagnostic evaluation or changes in antibiotics. Therefore, unless there is a good reason for treating with antipyretics such as extreme </w:t>
      </w:r>
      <w:proofErr w:type="spellStart"/>
      <w:r w:rsidRPr="004013F3">
        <w:rPr>
          <w:rFonts w:ascii="Arial" w:hAnsi="Arial" w:cs="Arial"/>
          <w:sz w:val="20"/>
          <w:szCs w:val="20"/>
        </w:rPr>
        <w:t>pt</w:t>
      </w:r>
      <w:proofErr w:type="spellEnd"/>
      <w:r w:rsidRPr="004013F3">
        <w:rPr>
          <w:rFonts w:ascii="Arial" w:hAnsi="Arial" w:cs="Arial"/>
          <w:sz w:val="20"/>
          <w:szCs w:val="20"/>
        </w:rPr>
        <w:t xml:space="preserve"> discomfort, AMS due to fever (common in the elderly), or cardiac disease vulnerable to the </w:t>
      </w:r>
      <w:proofErr w:type="spellStart"/>
      <w:r w:rsidRPr="004013F3">
        <w:rPr>
          <w:rFonts w:ascii="Arial" w:hAnsi="Arial" w:cs="Arial"/>
          <w:sz w:val="20"/>
          <w:szCs w:val="20"/>
        </w:rPr>
        <w:t>hypermetabolic</w:t>
      </w:r>
      <w:proofErr w:type="spellEnd"/>
      <w:r w:rsidRPr="004013F3">
        <w:rPr>
          <w:rFonts w:ascii="Arial" w:hAnsi="Arial" w:cs="Arial"/>
          <w:sz w:val="20"/>
          <w:szCs w:val="20"/>
        </w:rPr>
        <w:t xml:space="preserve"> state, consider resisting the temptation to lower the temperature.</w:t>
      </w:r>
    </w:p>
    <w:p w:rsidR="00DF3882" w:rsidRPr="004013F3" w:rsidRDefault="00DF3882" w:rsidP="004013F3">
      <w:pPr>
        <w:ind w:left="36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F3882" w:rsidRPr="004013F3" w:rsidSect="00B8044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C5B2CC4"/>
    <w:multiLevelType w:val="hybridMultilevel"/>
    <w:tmpl w:val="5164B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550D20"/>
    <w:multiLevelType w:val="hybridMultilevel"/>
    <w:tmpl w:val="8CF8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F45BFA"/>
    <w:multiLevelType w:val="hybridMultilevel"/>
    <w:tmpl w:val="A9A0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826B64"/>
    <w:multiLevelType w:val="hybridMultilevel"/>
    <w:tmpl w:val="442E1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F3"/>
    <w:rsid w:val="004013F3"/>
    <w:rsid w:val="007B5D63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3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3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447</Words>
  <Characters>2554</Characters>
  <Application>Microsoft Macintosh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2017-07-17T14:42:00Z</dcterms:created>
  <dcterms:modified xsi:type="dcterms:W3CDTF">2017-07-17T14:45:00Z</dcterms:modified>
</cp:coreProperties>
</file>